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Հավելվ</w:t>
      </w:r>
      <w:bookmarkStart w:id="0" w:name="_GoBack"/>
      <w:bookmarkEnd w:id="0"/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0F8774FC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9C2873" w:rsidRP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Սեղմված բնական գազ</w:t>
      </w:r>
      <w:r w:rsid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</w:p>
    <w:p w14:paraId="21E50CE2" w14:textId="7A0FF72C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3EC396EE" w14:textId="77777777" w:rsidR="009C2873" w:rsidRDefault="009C287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C287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ՍՄՏՀ ԳՀ </w:t>
      </w:r>
      <w:r w:rsidRPr="009C287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ԱՊՁԲ 22/03-1</w:t>
      </w:r>
      <w:r w:rsidR="00BA7E41" w:rsidRPr="00BA7E4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</w:p>
    <w:p w14:paraId="48905F45" w14:textId="65A3C37D" w:rsidR="009C2873" w:rsidRDefault="009C287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70820F43" w:rsid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720"/>
        <w:gridCol w:w="49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800"/>
      </w:tblGrid>
      <w:tr w:rsidR="0022631D" w:rsidRPr="0022631D" w14:paraId="3BCB0F4A" w14:textId="77777777" w:rsidTr="0017104D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8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7104D">
        <w:trPr>
          <w:trHeight w:val="313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7104D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7104D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63688" w:rsidRPr="009C2873" w14:paraId="6CB0AC86" w14:textId="77777777" w:rsidTr="00863688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863688" w:rsidRPr="007A4C41" w:rsidRDefault="00863688" w:rsidP="008636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A41B598" w:rsidR="00863688" w:rsidRPr="007A4C41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proofErr w:type="spellStart"/>
            <w:r w:rsidRPr="0086368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Սեղմված</w:t>
            </w:r>
            <w:proofErr w:type="spellEnd"/>
            <w:r w:rsidRPr="0086368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6368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բնական</w:t>
            </w:r>
            <w:proofErr w:type="spellEnd"/>
            <w:r w:rsidRPr="0086368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6368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գազի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C0524C4" w:rsidR="00863688" w:rsidRPr="00863688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hy-AM"/>
              </w:rPr>
              <w:t>կգ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1652E7B" w:rsidR="00863688" w:rsidRPr="007A4C41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hy-AM"/>
              </w:rPr>
              <w:t>6300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F08CD86" w:rsidR="00863688" w:rsidRPr="007A4C41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hy-AM"/>
              </w:rPr>
              <w:t>6300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1ADABC1" w:rsidR="00863688" w:rsidRPr="00863688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es-ES"/>
              </w:rPr>
              <w:t>2142000</w:t>
            </w:r>
          </w:p>
        </w:tc>
        <w:tc>
          <w:tcPr>
            <w:tcW w:w="1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650C330" w:rsidR="00863688" w:rsidRPr="00863688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es-ES"/>
              </w:rPr>
              <w:t>2142000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93A" w14:textId="2714C5E6" w:rsidR="00863688" w:rsidRPr="00863688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63688">
              <w:rPr>
                <w:rFonts w:ascii="GHEA Grapalat" w:hAnsi="GHEA Grapalat" w:cs="Sylfaen"/>
                <w:bCs/>
                <w:sz w:val="14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B32D" w14:textId="004317AE" w:rsidR="00863688" w:rsidRPr="00863688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63688">
              <w:rPr>
                <w:rFonts w:ascii="GHEA Grapalat" w:hAnsi="GHEA Grapalat" w:cs="Sylfaen"/>
                <w:bCs/>
                <w:sz w:val="14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</w:tr>
      <w:tr w:rsidR="007A4C41" w:rsidRPr="0022631D" w14:paraId="27D8D935" w14:textId="77777777" w:rsidTr="0017104D">
        <w:trPr>
          <w:trHeight w:val="182"/>
        </w:trPr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17104D">
        <w:trPr>
          <w:trHeight w:val="16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17104D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17104D">
        <w:trPr>
          <w:trHeight w:val="196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1437A3C" w:rsidR="00900757" w:rsidRPr="00900757" w:rsidRDefault="00863688" w:rsidP="008636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900757" w:rsidRPr="0022631D" w14:paraId="199F948A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00757" w:rsidRPr="0022631D" w14:paraId="321D26CF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17104D">
        <w:trPr>
          <w:trHeight w:val="54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17104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44" w:type="dxa"/>
            <w:gridSpan w:val="21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17104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00757" w:rsidRPr="0022631D" w14:paraId="4DA511EC" w14:textId="77777777" w:rsidTr="0017104D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78" w:type="dxa"/>
            <w:gridSpan w:val="27"/>
            <w:shd w:val="clear" w:color="auto" w:fill="auto"/>
            <w:vAlign w:val="center"/>
          </w:tcPr>
          <w:p w14:paraId="6ABF72D4" w14:textId="0FCF15AC" w:rsidR="00900757" w:rsidRPr="00900757" w:rsidRDefault="00863688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Սեղմված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բնական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գազ</w:t>
            </w:r>
            <w:proofErr w:type="spellEnd"/>
          </w:p>
        </w:tc>
      </w:tr>
      <w:tr w:rsidR="0055425B" w:rsidRPr="0022631D" w14:paraId="50825522" w14:textId="77777777" w:rsidTr="0017104D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555DFEBB" w:rsidR="0055425B" w:rsidRPr="0055425B" w:rsidRDefault="0086368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5CDA02DA" w:rsidR="0055425B" w:rsidRPr="0055425B" w:rsidRDefault="0086368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1785000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51544DF6" w:rsidR="0055425B" w:rsidRPr="0055425B" w:rsidRDefault="0086368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357000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1F59BBB2" w14:textId="5194B5EA" w:rsidR="0055425B" w:rsidRPr="0055425B" w:rsidRDefault="0086368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2142000</w:t>
            </w:r>
          </w:p>
        </w:tc>
      </w:tr>
      <w:tr w:rsidR="00900757" w:rsidRPr="0055425B" w14:paraId="700CD07F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17104D"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0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17104D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17104D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17104D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9" w:type="dxa"/>
            <w:gridSpan w:val="24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17104D">
        <w:trPr>
          <w:trHeight w:val="289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17104D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AFA5BFE" w:rsidR="00900757" w:rsidRPr="00737261" w:rsidRDefault="00382B29" w:rsidP="00382B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900757" w:rsidRPr="0022631D" w14:paraId="71BEA872" w14:textId="77777777" w:rsidTr="0017104D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17104D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00757" w:rsidRPr="0022631D" w14:paraId="2254FA5C" w14:textId="77777777" w:rsidTr="0017104D">
        <w:trPr>
          <w:trHeight w:val="344"/>
        </w:trPr>
        <w:tc>
          <w:tcPr>
            <w:tcW w:w="1116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C6C141D" w:rsidR="00900757" w:rsidRPr="0022631D" w:rsidRDefault="00900757" w:rsidP="00382B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382B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382B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900757" w:rsidRPr="0022631D" w14:paraId="3C75DA26" w14:textId="77777777" w:rsidTr="0017104D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967A09F" w:rsidR="00900757" w:rsidRPr="001E7C83" w:rsidRDefault="00382B29" w:rsidP="00382B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0682C6BE" w14:textId="77777777" w:rsidTr="0017104D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F5FA7DB" w:rsidR="001E7C83" w:rsidRPr="0022631D" w:rsidRDefault="00382B29" w:rsidP="00382B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79A64497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38" w:type="dxa"/>
            <w:gridSpan w:val="25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7C83" w:rsidRPr="0022631D" w14:paraId="11F19FA1" w14:textId="77777777" w:rsidTr="0017104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17104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17104D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367EF" w:rsidRPr="0022631D" w14:paraId="1E28D31D" w14:textId="77777777" w:rsidTr="00207C9F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91CD0D1" w14:textId="3375E5DA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68475170" w:rsidR="00B367EF" w:rsidRPr="007B0963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367EF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 ԳՀ ԱՊՁԲ 22/03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4A64823E" w:rsidR="00B367EF" w:rsidRPr="00CC54C6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14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4FC52D51" w:rsidR="00B367EF" w:rsidRPr="00CC54C6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25.12.2022թ.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B367EF" w:rsidRPr="00E4125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BC7" w14:textId="5B7BF782" w:rsidR="00B367EF" w:rsidRPr="00E4125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2142000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A549" w14:textId="6727564F" w:rsidR="00B367EF" w:rsidRPr="00E4125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2142000</w:t>
            </w:r>
          </w:p>
        </w:tc>
      </w:tr>
      <w:tr w:rsidR="001E7C83" w:rsidRPr="0022631D" w14:paraId="41E4ED39" w14:textId="77777777" w:rsidTr="0017104D">
        <w:trPr>
          <w:trHeight w:val="215"/>
        </w:trPr>
        <w:tc>
          <w:tcPr>
            <w:tcW w:w="1116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17104D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67EF" w:rsidRPr="007B0963" w14:paraId="20BC55B9" w14:textId="77777777" w:rsidTr="0017104D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4EF73FE9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0AFDDC1" w:rsidR="00B367EF" w:rsidRPr="00B367EF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367EF">
              <w:rPr>
                <w:rFonts w:ascii="GHEA Grapalat" w:hAnsi="GHEA Grapalat"/>
                <w:b/>
                <w:sz w:val="16"/>
                <w:szCs w:val="14"/>
                <w:lang w:val="hy-AM"/>
              </w:rPr>
              <w:t>Սյունիքի մարզ, Տեղ համայնք, գ. Տեղ, Արցախյան խճուղի 4/1,4/2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CB83D8E" w:rsidR="00B367EF" w:rsidRPr="00585B31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Pr="00B367EF">
                <w:rPr>
                  <w:rFonts w:eastAsia="Times New Roman"/>
                  <w:color w:val="0000FF"/>
                  <w:u w:val="single"/>
                  <w:lang w:val="es-ES"/>
                </w:rPr>
                <w:t>zangezurgaz@mail.ru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EBFB7B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1510046650230100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5A084A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09214357</w:t>
            </w:r>
          </w:p>
        </w:tc>
      </w:tr>
      <w:tr w:rsidR="001E7C83" w:rsidRPr="007B0963" w14:paraId="496A046D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9C2873" w14:paraId="5484FA73" w14:textId="77777777" w:rsidTr="005E1C72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911547" w:rsidRPr="0022631D" w:rsidRDefault="00911547" w:rsidP="005E1C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9C2873" w14:paraId="5A7FED5D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9C2873" w14:paraId="40B30E88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9C2873" w14:paraId="541BD7F7" w14:textId="77777777" w:rsidTr="0017104D">
        <w:trPr>
          <w:trHeight w:val="288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9C2873" w14:paraId="4DE14D25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9C2873" w14:paraId="1DAD5D5C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17104D">
        <w:trPr>
          <w:trHeight w:val="227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17104D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1547" w:rsidRPr="0022631D" w14:paraId="6C6C269C" w14:textId="77777777" w:rsidTr="0017104D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DF1D66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Վարդան</w:t>
            </w:r>
            <w:proofErr w:type="spellEnd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Գզիրանց</w:t>
            </w:r>
            <w:proofErr w:type="spellEnd"/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C778D78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3849" w:type="dxa"/>
            <w:gridSpan w:val="8"/>
            <w:shd w:val="clear" w:color="auto" w:fill="auto"/>
            <w:vAlign w:val="center"/>
          </w:tcPr>
          <w:p w14:paraId="3C42DEDA" w14:textId="117B365F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3206E">
      <w:pgSz w:w="11907" w:h="16840" w:code="9"/>
      <w:pgMar w:top="63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92F6" w14:textId="77777777" w:rsidR="00E6152D" w:rsidRDefault="00E6152D" w:rsidP="0022631D">
      <w:pPr>
        <w:spacing w:before="0" w:after="0"/>
      </w:pPr>
      <w:r>
        <w:separator/>
      </w:r>
    </w:p>
  </w:endnote>
  <w:endnote w:type="continuationSeparator" w:id="0">
    <w:p w14:paraId="185168EE" w14:textId="77777777" w:rsidR="00E6152D" w:rsidRDefault="00E6152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5DC8" w14:textId="77777777" w:rsidR="00E6152D" w:rsidRDefault="00E6152D" w:rsidP="0022631D">
      <w:pPr>
        <w:spacing w:before="0" w:after="0"/>
      </w:pPr>
      <w:r>
        <w:separator/>
      </w:r>
    </w:p>
  </w:footnote>
  <w:footnote w:type="continuationSeparator" w:id="0">
    <w:p w14:paraId="6FB9D6CA" w14:textId="77777777" w:rsidR="00E6152D" w:rsidRDefault="00E6152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4A9F"/>
    <w:rsid w:val="00044EA8"/>
    <w:rsid w:val="00046CCF"/>
    <w:rsid w:val="00051ECE"/>
    <w:rsid w:val="0007090E"/>
    <w:rsid w:val="00073D66"/>
    <w:rsid w:val="000A6F67"/>
    <w:rsid w:val="000B0199"/>
    <w:rsid w:val="000E4FF1"/>
    <w:rsid w:val="000F376D"/>
    <w:rsid w:val="001021B0"/>
    <w:rsid w:val="00150700"/>
    <w:rsid w:val="0017104D"/>
    <w:rsid w:val="0018422F"/>
    <w:rsid w:val="001A1999"/>
    <w:rsid w:val="001C1BE1"/>
    <w:rsid w:val="001E0091"/>
    <w:rsid w:val="001E7C83"/>
    <w:rsid w:val="00206065"/>
    <w:rsid w:val="0022631D"/>
    <w:rsid w:val="002820DA"/>
    <w:rsid w:val="00295B92"/>
    <w:rsid w:val="002E46D1"/>
    <w:rsid w:val="002E4E6F"/>
    <w:rsid w:val="002F16CC"/>
    <w:rsid w:val="002F1FEB"/>
    <w:rsid w:val="00371B1D"/>
    <w:rsid w:val="00382B29"/>
    <w:rsid w:val="00394610"/>
    <w:rsid w:val="003B2758"/>
    <w:rsid w:val="003B46C2"/>
    <w:rsid w:val="003E3D40"/>
    <w:rsid w:val="003E6978"/>
    <w:rsid w:val="00433E3C"/>
    <w:rsid w:val="00472069"/>
    <w:rsid w:val="00474C2F"/>
    <w:rsid w:val="004764CD"/>
    <w:rsid w:val="004875E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607C9A"/>
    <w:rsid w:val="00646760"/>
    <w:rsid w:val="00672983"/>
    <w:rsid w:val="00690ECB"/>
    <w:rsid w:val="006A38B4"/>
    <w:rsid w:val="006B2E21"/>
    <w:rsid w:val="006C0266"/>
    <w:rsid w:val="006C58E3"/>
    <w:rsid w:val="006D3416"/>
    <w:rsid w:val="006E0D92"/>
    <w:rsid w:val="006E1A83"/>
    <w:rsid w:val="006F2779"/>
    <w:rsid w:val="007060FC"/>
    <w:rsid w:val="00737261"/>
    <w:rsid w:val="007732E7"/>
    <w:rsid w:val="0078682E"/>
    <w:rsid w:val="007A4C41"/>
    <w:rsid w:val="007B0963"/>
    <w:rsid w:val="0081420B"/>
    <w:rsid w:val="00856602"/>
    <w:rsid w:val="00863688"/>
    <w:rsid w:val="008A4DA5"/>
    <w:rsid w:val="008C4E62"/>
    <w:rsid w:val="008E493A"/>
    <w:rsid w:val="008F4A6C"/>
    <w:rsid w:val="00900757"/>
    <w:rsid w:val="00911547"/>
    <w:rsid w:val="0098189D"/>
    <w:rsid w:val="00986971"/>
    <w:rsid w:val="009A360E"/>
    <w:rsid w:val="009C2873"/>
    <w:rsid w:val="009C5E0F"/>
    <w:rsid w:val="009D5841"/>
    <w:rsid w:val="009E75FF"/>
    <w:rsid w:val="00A306F5"/>
    <w:rsid w:val="00A31820"/>
    <w:rsid w:val="00A31F8F"/>
    <w:rsid w:val="00AA32E4"/>
    <w:rsid w:val="00AD07B9"/>
    <w:rsid w:val="00AD59DC"/>
    <w:rsid w:val="00AE338A"/>
    <w:rsid w:val="00AE7AA3"/>
    <w:rsid w:val="00B367EF"/>
    <w:rsid w:val="00B53853"/>
    <w:rsid w:val="00B75762"/>
    <w:rsid w:val="00B91DE2"/>
    <w:rsid w:val="00B94EA2"/>
    <w:rsid w:val="00BA03B0"/>
    <w:rsid w:val="00BA7E41"/>
    <w:rsid w:val="00BB0A93"/>
    <w:rsid w:val="00BD3D4E"/>
    <w:rsid w:val="00BF1465"/>
    <w:rsid w:val="00BF4745"/>
    <w:rsid w:val="00C3206E"/>
    <w:rsid w:val="00C32AA3"/>
    <w:rsid w:val="00C55794"/>
    <w:rsid w:val="00C84DF7"/>
    <w:rsid w:val="00C96337"/>
    <w:rsid w:val="00C96BED"/>
    <w:rsid w:val="00CA2481"/>
    <w:rsid w:val="00CB44D2"/>
    <w:rsid w:val="00CC1F23"/>
    <w:rsid w:val="00CC54C6"/>
    <w:rsid w:val="00CF1F70"/>
    <w:rsid w:val="00D25A50"/>
    <w:rsid w:val="00D350DE"/>
    <w:rsid w:val="00D36189"/>
    <w:rsid w:val="00D4374C"/>
    <w:rsid w:val="00D75660"/>
    <w:rsid w:val="00D80C64"/>
    <w:rsid w:val="00DE06F1"/>
    <w:rsid w:val="00E0337B"/>
    <w:rsid w:val="00E243EA"/>
    <w:rsid w:val="00E33A25"/>
    <w:rsid w:val="00E4125D"/>
    <w:rsid w:val="00E4188B"/>
    <w:rsid w:val="00E54C4D"/>
    <w:rsid w:val="00E56328"/>
    <w:rsid w:val="00E6152D"/>
    <w:rsid w:val="00EA01A2"/>
    <w:rsid w:val="00EA568C"/>
    <w:rsid w:val="00EA767F"/>
    <w:rsid w:val="00EB59EE"/>
    <w:rsid w:val="00EC2455"/>
    <w:rsid w:val="00EF16D0"/>
    <w:rsid w:val="00F10AFE"/>
    <w:rsid w:val="00F31004"/>
    <w:rsid w:val="00F64167"/>
    <w:rsid w:val="00F6673B"/>
    <w:rsid w:val="00F77AAD"/>
    <w:rsid w:val="00F916C4"/>
    <w:rsid w:val="00FB097B"/>
    <w:rsid w:val="00FE056F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gezurga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9D66-8A01-49FB-8367-161A541B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50</cp:revision>
  <cp:lastPrinted>2021-04-06T07:47:00Z</cp:lastPrinted>
  <dcterms:created xsi:type="dcterms:W3CDTF">2021-06-28T12:08:00Z</dcterms:created>
  <dcterms:modified xsi:type="dcterms:W3CDTF">2022-03-11T10:28:00Z</dcterms:modified>
</cp:coreProperties>
</file>