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BB" w:rsidRDefault="000445BB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</w:p>
    <w:p w:rsidR="00053CA8" w:rsidRPr="009C1F00" w:rsidRDefault="00053CA8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  <w:r w:rsidRPr="009C1F00">
        <w:rPr>
          <w:rFonts w:ascii="GHEA Grapalat" w:hAnsi="GHEA Grapalat"/>
          <w:b/>
          <w:i/>
          <w:szCs w:val="22"/>
          <w:lang w:val="hy-AM"/>
        </w:rPr>
        <w:t>Գնման</w:t>
      </w:r>
      <w:r w:rsidR="00655B1A" w:rsidRPr="009C1F00">
        <w:rPr>
          <w:rFonts w:ascii="GHEA Grapalat" w:hAnsi="GHEA Grapalat"/>
          <w:b/>
          <w:i/>
          <w:szCs w:val="22"/>
          <w:lang w:val="hy-AM"/>
        </w:rPr>
        <w:t xml:space="preserve">  </w:t>
      </w:r>
      <w:r w:rsidRPr="009C1F00">
        <w:rPr>
          <w:rFonts w:ascii="GHEA Grapalat" w:hAnsi="GHEA Grapalat"/>
          <w:b/>
          <w:i/>
          <w:szCs w:val="22"/>
          <w:lang w:val="hy-AM"/>
        </w:rPr>
        <w:t xml:space="preserve"> հայտ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53CA8" w:rsidRPr="001127AD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/>
          <w:b/>
          <w:i/>
          <w:sz w:val="22"/>
          <w:szCs w:val="22"/>
          <w:lang w:val="hy-AM"/>
        </w:rPr>
        <w:t>1. Գնման առարկայի բնութագիր</w:t>
      </w:r>
    </w:p>
    <w:p w:rsidR="00053CA8" w:rsidRPr="001127AD" w:rsidRDefault="005D2619" w:rsidP="00053CA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 xml:space="preserve">   Գնման առարկա են հանդիսանում</w:t>
      </w:r>
      <w:r w:rsidR="00053CA8" w:rsidRPr="001127AD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053CA8" w:rsidRPr="001127AD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E47ECC" w:rsidRPr="00E47ECC">
        <w:rPr>
          <w:rFonts w:ascii="GHEA Grapalat" w:hAnsi="GHEA Grapalat" w:cs="Sylfaen"/>
          <w:b/>
          <w:sz w:val="22"/>
          <w:szCs w:val="22"/>
          <w:lang w:val="hy-AM" w:eastAsia="en-US"/>
        </w:rPr>
        <w:t>ՀՀ Սյունիքի մարզի Տեղ համայնքի Տեղ բնակավայրի ոռոգման ներտնտեսային ցանցի կառուցման  աշխատանքների որակի տեխնիկական հսկողությ</w:t>
      </w:r>
      <w:r w:rsidR="00E47ECC">
        <w:rPr>
          <w:rFonts w:ascii="GHEA Grapalat" w:hAnsi="GHEA Grapalat" w:cs="Sylfaen"/>
          <w:b/>
          <w:sz w:val="22"/>
          <w:szCs w:val="22"/>
          <w:lang w:val="hy-AM" w:eastAsia="en-US"/>
        </w:rPr>
        <w:t>ու</w:t>
      </w:r>
      <w:r w:rsidR="00E47ECC" w:rsidRPr="00E47ECC">
        <w:rPr>
          <w:rFonts w:ascii="GHEA Grapalat" w:hAnsi="GHEA Grapalat" w:cs="Sylfaen"/>
          <w:b/>
          <w:sz w:val="22"/>
          <w:szCs w:val="22"/>
          <w:lang w:val="hy-AM" w:eastAsia="en-US"/>
        </w:rPr>
        <w:t>ն</w:t>
      </w:r>
      <w:r w:rsidR="00E47ECC">
        <w:rPr>
          <w:rFonts w:ascii="GHEA Grapalat" w:hAnsi="GHEA Grapalat" w:cs="Sylfaen"/>
          <w:b/>
          <w:sz w:val="22"/>
          <w:szCs w:val="22"/>
          <w:lang w:val="hy-AM" w:eastAsia="en-US"/>
        </w:rPr>
        <w:t>ը</w:t>
      </w:r>
      <w:r w:rsidR="0043487C" w:rsidRPr="001127AD">
        <w:rPr>
          <w:rFonts w:ascii="GHEA Grapalat" w:hAnsi="GHEA Grapalat" w:cs="Sylfaen"/>
          <w:sz w:val="22"/>
          <w:szCs w:val="22"/>
          <w:lang w:val="hy-AM" w:eastAsia="en-US"/>
        </w:rPr>
        <w:t>»</w:t>
      </w:r>
      <w:r w:rsidR="00053CA8" w:rsidRPr="001127AD">
        <w:rPr>
          <w:rFonts w:ascii="GHEA Grapalat" w:hAnsi="GHEA Grapalat"/>
          <w:sz w:val="22"/>
          <w:szCs w:val="22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1440"/>
        <w:gridCol w:w="4410"/>
      </w:tblGrid>
      <w:tr w:rsidR="0079592B" w:rsidRPr="001127AD" w:rsidTr="005F7C90">
        <w:trPr>
          <w:trHeight w:val="5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5F7C90" w:rsidRDefault="00053CA8" w:rsidP="005F7C90">
            <w:pPr>
              <w:jc w:val="center"/>
              <w:rPr>
                <w:rFonts w:ascii="GHEA Grapalat" w:hAnsi="GHEA Grapalat" w:cs="Arial"/>
                <w:b/>
                <w:sz w:val="20"/>
                <w:szCs w:val="22"/>
              </w:rPr>
            </w:pPr>
            <w:proofErr w:type="spellStart"/>
            <w:r w:rsidRPr="005F7C90">
              <w:rPr>
                <w:rFonts w:ascii="GHEA Grapalat" w:hAnsi="GHEA Grapalat" w:cs="Arial"/>
                <w:b/>
                <w:sz w:val="20"/>
                <w:szCs w:val="22"/>
              </w:rPr>
              <w:t>Գնման</w:t>
            </w:r>
            <w:proofErr w:type="spellEnd"/>
            <w:r w:rsidRPr="005F7C90">
              <w:rPr>
                <w:rFonts w:ascii="GHEA Grapalat" w:hAnsi="GHEA Grapalat" w:cs="Arial"/>
                <w:b/>
                <w:sz w:val="20"/>
                <w:szCs w:val="22"/>
              </w:rPr>
              <w:t xml:space="preserve"> </w:t>
            </w:r>
            <w:proofErr w:type="spellStart"/>
            <w:r w:rsidRPr="005F7C90">
              <w:rPr>
                <w:rFonts w:ascii="GHEA Grapalat" w:hAnsi="GHEA Grapalat" w:cs="Arial"/>
                <w:b/>
                <w:sz w:val="20"/>
                <w:szCs w:val="22"/>
              </w:rPr>
              <w:t>առարկան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5F7C90" w:rsidRDefault="00053CA8" w:rsidP="005F7C9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2"/>
              </w:rPr>
            </w:pPr>
            <w:proofErr w:type="spellStart"/>
            <w:r w:rsidRPr="005F7C90">
              <w:rPr>
                <w:rFonts w:ascii="GHEA Grapalat" w:hAnsi="GHEA Grapalat" w:cs="Arial"/>
                <w:b/>
                <w:sz w:val="20"/>
                <w:szCs w:val="22"/>
              </w:rPr>
              <w:t>Չափման</w:t>
            </w:r>
            <w:proofErr w:type="spellEnd"/>
            <w:r w:rsidRPr="005F7C90">
              <w:rPr>
                <w:rFonts w:ascii="GHEA Grapalat" w:hAnsi="GHEA Grapalat" w:cs="Arial"/>
                <w:b/>
                <w:sz w:val="20"/>
                <w:szCs w:val="22"/>
              </w:rPr>
              <w:t xml:space="preserve"> </w:t>
            </w:r>
            <w:proofErr w:type="spellStart"/>
            <w:r w:rsidRPr="005F7C90">
              <w:rPr>
                <w:rFonts w:ascii="GHEA Grapalat" w:hAnsi="GHEA Grapalat" w:cs="Arial"/>
                <w:b/>
                <w:sz w:val="20"/>
                <w:szCs w:val="22"/>
              </w:rPr>
              <w:t>միավորը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5F7C90" w:rsidRDefault="00053CA8" w:rsidP="005F7C9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2"/>
                <w:lang w:val="ru-RU"/>
              </w:rPr>
            </w:pPr>
            <w:proofErr w:type="spellStart"/>
            <w:r w:rsidRPr="005F7C90">
              <w:rPr>
                <w:rFonts w:ascii="GHEA Grapalat" w:hAnsi="GHEA Grapalat" w:cs="Sylfaen"/>
                <w:b/>
                <w:bCs/>
                <w:sz w:val="20"/>
                <w:szCs w:val="22"/>
              </w:rPr>
              <w:t>Քանակ</w:t>
            </w:r>
            <w:proofErr w:type="spellEnd"/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5F7C90" w:rsidRDefault="00053CA8" w:rsidP="005F7C90">
            <w:pPr>
              <w:jc w:val="center"/>
              <w:rPr>
                <w:rFonts w:ascii="GHEA Grapalat" w:hAnsi="GHEA Grapalat"/>
                <w:b/>
                <w:sz w:val="20"/>
                <w:szCs w:val="22"/>
                <w:lang w:val="hy-AM"/>
              </w:rPr>
            </w:pPr>
            <w:proofErr w:type="spellStart"/>
            <w:r w:rsidRPr="005F7C90">
              <w:rPr>
                <w:rFonts w:ascii="GHEA Grapalat" w:hAnsi="GHEA Grapalat" w:cs="Sylfaen"/>
                <w:b/>
                <w:bCs/>
                <w:sz w:val="20"/>
                <w:szCs w:val="22"/>
              </w:rPr>
              <w:t>Չափս</w:t>
            </w:r>
            <w:proofErr w:type="spellEnd"/>
          </w:p>
        </w:tc>
      </w:tr>
      <w:tr w:rsidR="00297888" w:rsidRPr="0010644F" w:rsidTr="00233FDD">
        <w:trPr>
          <w:trHeight w:val="1048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297888" w:rsidRPr="006E0677" w:rsidRDefault="009F0F5C" w:rsidP="0029788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vertAlign w:val="subscript"/>
              </w:rPr>
            </w:pPr>
            <w:r w:rsidRPr="006E0677">
              <w:rPr>
                <w:rFonts w:ascii="GHEA Grapalat" w:hAnsi="GHEA Grapalat" w:cs="Sylfaen"/>
                <w:szCs w:val="16"/>
                <w:lang w:val="hy-AM"/>
              </w:rPr>
              <w:t>ՀՀ Սյունիքի մարզի Տեղ համայնքի Տեղ բնակավայրի ոռոգման ներտնտեսային ցանցի կառուցման  աշխատանքների որակի տեխնիկական հսկողության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C12A39" w:rsidRDefault="00297888" w:rsidP="00297888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C12A39">
              <w:rPr>
                <w:rFonts w:ascii="GHEA Grapalat" w:hAnsi="GHEA Grapalat" w:cs="Arial"/>
                <w:sz w:val="20"/>
                <w:szCs w:val="20"/>
                <w:lang w:val="hy-AM"/>
              </w:rPr>
              <w:t>օր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C12A39" w:rsidRDefault="009F0F5C" w:rsidP="0029788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A39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Ծառայության մատուցման ընդհանուր պահանջներ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1.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նախագծերին, տեխնիկական առանձնահատկություններին և այլ պայմանագրային փաստաթղթերին համապատասխան: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2. Տեխնիկական հսկողության ծառայությունները պետք է իրականացվեն ՀՀ Քաղաքաշինության նախարարի 28.04.1998թ.-ի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3. Տեխնիկական հսկողություն իրականացնողի հիմնական պարտականություններն են՝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շինարարության սկզբից մինչև ավարտը ընկած ժամանակահատվածում պարբերաբար լուսանկարահանել շինարարության օբյեկտի վիճակը,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ապահովել կատարվող աշխատանքների համապատասխանությունը կապալի պայմանագրի պայմաններին, շինարարական նորմերին և կանոններին,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Կապալառուի կողմից պայմանագրային պարտավորությունների կատարման շեղում հայտնաբերելուց անհապաղ տեղեկացնել Պատվիրատուին` կցելով համապատասխան հիմնավորումը,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ստուգել և հաստատել աշխատանքային և կատարողական փաստաթղթերը՝ նախապատրաստված Կապալառուի կողմից,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ստուգել և վերահսկել նյութերի որակը և շինարարական աշխատանքների ընթացքը, որպեսզի ապահովվի մասնագրերին և պայմանագրային մյուս փաստաթղթերին համապատասխանությունը: Արգելել կամ փոփոխել այն նյութերը, որոնք չեն համապատասխանում անհրաժեշտ պայմաններին,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վերահսկել և գնահատել շինաշխատանքների գործընթացը, որպեսզի ապահովվի շինաշխատանքների ավարտը՝ համաձայն պայմանագրի մեջ նշված ժամանակացույցի,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ստուգել բոլոր այն փորձարկումների արդյունքները, որոնք անհրաժեշտ են որակի ապահովման համար: Ստուգել բոլոր փաստաթղթերը (այդ թվում՝ բոլոր ծավալային չափերը և հաշվարկները), որոնք անհրաժեշտ են համապատասխան վճարումները իրականացնելու համար,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կատարել որակի և քանակի ամենօրյա հսկումը (համապատասխան նշում կատարելով մատյանում), այն աշխատանքների անհրաժեշտ փորձարկումները, որոնք կատարվում են կապալի պայմանագրի իրականացման շրջանակում,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 շինարարության ժամանակ առաջացող խնդիրների դեպքում առաջարկել այն գործողությունները, որոնք անհրաժեշտ կլինեն աշխատանքային ժամանակացույցը պահպանելու համար,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• հսկել բոլոր այն հարցերը, որոնք կապված են շինաշխատանքներն անվտանգ իրականացնելու հետ և </w:t>
            </w: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lastRenderedPageBreak/>
              <w:t>հրահանգել Կապալառուին տեղադրել նշաններ, լուսավորության անվտանգության սարքերի և այլ համապատասխան միջոցառումների իրականացման համար,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կատարել անհրաժեշտ օրական գրառումներ, որոնք անհրաժեշտ են պայմանագրի ընթացքի վերահսկման համար (ընդգրկելով կատարված աշխատանքների հավաստագրերը և այլ անհրաժեշտ փաստաթղթեր),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կատարել աշխատանքների ծավալների չափագրումներ և մասնակցել կատարողական փաստաթղթերի կազմմանը և հաստատմանը,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շինարարության ավարտից հետո 5 աշխատանքային օրվա ընթացքում Պատվիրատուին ներկայացնել Հաշվետվություն կատարված աշխատանքների վերաբերյալ` կցելով լուսանկարները, անհրաժեշտ գծագրերը, ծածկված աշխատանքների ակտերը, փորձարկման ակտերը,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սերտիֆիկատները,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Պատվիրատուի ցուցումով չափագրել կատարման ենթակա աշխատանքները: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• պարտադիր ներկա լինել քաղաքաշինության նախարարի թիվ 44 առ 28.04.1998թ. Շինարարության որակի տեխնիկական հսկողության իրականացման հրահանգ հրամանի հավելված 1-ով նախատեսված ծածկման շինմոնտաժային աշխատանքների իրականացման ընթացքում: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Հաշվետվության ներկայացման պահանջներ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Կատարողը պարտավոր է ներկայացնել Պատվիրատուին ծառայությունների վերաբերյալ ընթացիկ և ավարտական հաշվետվություններ, որոնք հանդիսանում են ծառայությունների հանձնման-ընդունման արձանագրությունները հիմնավորող փաստաթղթեր: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Ընթացիկ հաշվետվությունները ներկայացվում են պարբերաբար, ընդգրկելով իրականացված ծառայությունները և կատարված աշխատանքները հավաստող ու հիմնավորող տեխնիկական փաստաթղթերի պատճենները (համառոտ նկարագրություն տվյալ ժամանակահատվածում իրականացված շինարարական աշխատանքների և տեխ.հսկողության ծառայություննների վերաբերյալ, լաբորատոր փորձարկումների արդյունքներ, նյութերի, կոնստրուկցիաների որակի համապատասխանության հավաստագրեր, ծածկված (միջանկյալ) աշխատանքների ընդունման ակտեր, նախքան շինարարության սկիզբը, ինչպես նաև ծածկված (միջանկյալ) աշխատանքների լուսանկարներ: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Ավարտական հաշվետվությունը պետք է ընդգրկի հետևյալ փաստաթղթերի պատճենները՝ ավարտական կատարողական փաստաթղթեր, ամփոփ նկարագրական տեղեկանք իրականացված շինարարական աշխատանքների ամբողջ ժամանակահատվածի համար, նախքան շինարարության սկիզբը, ինչպես նաև ավարտված շինարարական օբյեկտի լուսանկարներ:</w:t>
            </w:r>
          </w:p>
          <w:p w:rsidR="009F0F5C" w:rsidRPr="009F0F5C" w:rsidRDefault="009F0F5C" w:rsidP="009F0F5C">
            <w:pPr>
              <w:ind w:right="34"/>
              <w:jc w:val="both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ընթացքում` Ծառայություննների հանձնման-ընդունման արձանագրությունների հետ մեկտեղ:</w:t>
            </w:r>
          </w:p>
          <w:p w:rsidR="00297888" w:rsidRPr="00BA15C7" w:rsidRDefault="009F0F5C" w:rsidP="009F0F5C">
            <w:pPr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F0F5C">
              <w:rPr>
                <w:rFonts w:ascii="GHEA Grapalat" w:hAnsi="GHEA Grapalat"/>
                <w:sz w:val="16"/>
                <w:szCs w:val="16"/>
                <w:lang w:val="hy-AM" w:eastAsia="en-US"/>
              </w:rPr>
              <w:t>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ընթացքում:</w:t>
            </w:r>
          </w:p>
        </w:tc>
      </w:tr>
    </w:tbl>
    <w:p w:rsidR="001127AD" w:rsidRPr="001127AD" w:rsidRDefault="001127AD" w:rsidP="007114EB">
      <w:pPr>
        <w:ind w:left="-540"/>
        <w:jc w:val="both"/>
        <w:rPr>
          <w:rFonts w:ascii="GHEA Grapalat" w:hAnsi="GHEA Grapalat"/>
          <w:sz w:val="22"/>
          <w:szCs w:val="22"/>
          <w:lang w:val="hy-AM"/>
        </w:rPr>
      </w:pPr>
    </w:p>
    <w:p w:rsidR="00053CA8" w:rsidRPr="001127AD" w:rsidRDefault="00053CA8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  <w:r w:rsidRPr="001127AD">
        <w:rPr>
          <w:rFonts w:ascii="GHEA Grapalat" w:hAnsi="GHEA Grapalat"/>
          <w:sz w:val="22"/>
          <w:szCs w:val="22"/>
          <w:lang w:val="de-DE"/>
        </w:rPr>
        <w:t>2.</w:t>
      </w:r>
      <w:r w:rsidRPr="001127AD">
        <w:rPr>
          <w:rFonts w:ascii="GHEA Grapalat" w:hAnsi="GHEA Grapalat"/>
          <w:sz w:val="22"/>
          <w:szCs w:val="22"/>
          <w:lang w:val="hy-AM"/>
        </w:rPr>
        <w:t>1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 </w:t>
      </w:r>
      <w:r w:rsidRPr="001127AD">
        <w:rPr>
          <w:rFonts w:ascii="GHEA Grapalat" w:hAnsi="GHEA Grapalat"/>
          <w:sz w:val="22"/>
          <w:szCs w:val="22"/>
          <w:lang w:val="hy-AM"/>
        </w:rPr>
        <w:t>Վճարումն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իրականացնել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նախատեսված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ապրանքը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մատակարարելուց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հետո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` </w:t>
      </w:r>
      <w:r w:rsidRPr="001127AD">
        <w:rPr>
          <w:rFonts w:ascii="GHEA Grapalat" w:hAnsi="GHEA Grapalat"/>
          <w:sz w:val="22"/>
          <w:szCs w:val="22"/>
          <w:lang w:val="hy-AM"/>
        </w:rPr>
        <w:t>երկկողմ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ստորագրված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հանձման</w:t>
      </w:r>
      <w:r w:rsidRPr="001127AD">
        <w:rPr>
          <w:rFonts w:ascii="GHEA Grapalat" w:hAnsi="GHEA Grapalat"/>
          <w:sz w:val="22"/>
          <w:szCs w:val="22"/>
          <w:lang w:val="de-DE"/>
        </w:rPr>
        <w:t>-</w:t>
      </w:r>
      <w:r w:rsidRPr="001127AD">
        <w:rPr>
          <w:rFonts w:ascii="GHEA Grapalat" w:hAnsi="GHEA Grapalat"/>
          <w:sz w:val="22"/>
          <w:szCs w:val="22"/>
          <w:lang w:val="hy-AM"/>
        </w:rPr>
        <w:t>ընդունման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արձանագրության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հիման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վրա՝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10 (</w:t>
      </w:r>
      <w:r w:rsidRPr="001127AD">
        <w:rPr>
          <w:rFonts w:ascii="GHEA Grapalat" w:hAnsi="GHEA Grapalat"/>
          <w:sz w:val="22"/>
          <w:szCs w:val="22"/>
          <w:lang w:val="hy-AM"/>
        </w:rPr>
        <w:t>տաս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) </w:t>
      </w:r>
      <w:r w:rsidRPr="001127AD">
        <w:rPr>
          <w:rFonts w:ascii="GHEA Grapalat" w:hAnsi="GHEA Grapalat"/>
          <w:sz w:val="22"/>
          <w:szCs w:val="22"/>
          <w:lang w:val="hy-AM"/>
        </w:rPr>
        <w:t>բանկային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օրվա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ընթացքում</w:t>
      </w:r>
      <w:r w:rsidRPr="001127AD">
        <w:rPr>
          <w:rFonts w:ascii="GHEA Grapalat" w:hAnsi="GHEA Grapalat"/>
          <w:sz w:val="22"/>
          <w:szCs w:val="22"/>
          <w:lang w:val="de-DE"/>
        </w:rPr>
        <w:t>:</w:t>
      </w:r>
    </w:p>
    <w:p w:rsidR="00A876FD" w:rsidRDefault="00A876FD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</w:p>
    <w:p w:rsidR="0095607B" w:rsidRPr="001127AD" w:rsidRDefault="0095607B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</w:p>
    <w:p w:rsidR="00053CA8" w:rsidRPr="001127AD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sz w:val="22"/>
          <w:szCs w:val="22"/>
          <w:lang w:val="ru-RU"/>
        </w:rPr>
      </w:pPr>
      <w:r w:rsidRPr="001127AD">
        <w:rPr>
          <w:rFonts w:ascii="GHEA Grapalat" w:hAnsi="GHEA Grapalat"/>
          <w:b/>
          <w:i/>
          <w:sz w:val="22"/>
          <w:szCs w:val="22"/>
          <w:lang w:val="de-DE"/>
        </w:rPr>
        <w:t>3.Գնման ընթացակարգը</w:t>
      </w:r>
    </w:p>
    <w:p w:rsidR="00053CA8" w:rsidRPr="001127AD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lang w:val="hy-AM"/>
        </w:rPr>
      </w:pP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Գնումն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իրականացնելի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eastAsia="Times New Roman" w:hAnsi="GHEA Grapalat"/>
          <w:bCs/>
          <w:lang w:val="en-US" w:eastAsia="ru-RU"/>
        </w:rPr>
        <w:t>է</w:t>
      </w:r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hAnsi="GHEA Grapalat"/>
          <w:lang w:val="hy-AM"/>
        </w:rPr>
        <w:t>Գնումների մասին» ՀՀ օրենքի (այսուհետ` Օրենք) 2</w:t>
      </w:r>
      <w:r w:rsidR="00422759" w:rsidRPr="001127AD">
        <w:rPr>
          <w:rFonts w:ascii="GHEA Grapalat" w:hAnsi="GHEA Grapalat"/>
          <w:lang w:val="hy-AM"/>
        </w:rPr>
        <w:t>2</w:t>
      </w:r>
      <w:r w:rsidRPr="001127AD">
        <w:rPr>
          <w:rFonts w:ascii="GHEA Grapalat" w:hAnsi="GHEA Grapalat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1127AD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Գնումները կազմակերպել և իրականացնել </w:t>
      </w:r>
      <w:r w:rsidR="00655B1A" w:rsidRPr="001127AD">
        <w:rPr>
          <w:rFonts w:ascii="GHEA Grapalat" w:hAnsi="GHEA Grapalat"/>
          <w:lang w:val="hy-AM"/>
        </w:rPr>
        <w:t>Գնանշման հարցում</w:t>
      </w:r>
      <w:r w:rsidRPr="001127AD">
        <w:rPr>
          <w:rFonts w:ascii="GHEA Grapalat" w:hAnsi="GHEA Grapalat"/>
          <w:lang w:val="hy-AM"/>
        </w:rPr>
        <w:t xml:space="preserve"> ընթացակարգով</w:t>
      </w:r>
      <w:r w:rsidRPr="001127AD">
        <w:rPr>
          <w:rFonts w:ascii="GHEA Grapalat" w:eastAsia="Times New Roman" w:hAnsi="GHEA Grapalat"/>
          <w:bCs/>
          <w:lang w:val="hy-AM" w:eastAsia="ru-RU"/>
        </w:rPr>
        <w:t>:</w:t>
      </w: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de-DE"/>
        </w:rPr>
        <w:tab/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Տեղ համայնքի ղեկավարի տեղակալ  ____________   </w:t>
      </w:r>
      <w:r w:rsidR="00510D9D" w:rsidRPr="001127AD">
        <w:rPr>
          <w:rFonts w:ascii="GHEA Grapalat" w:hAnsi="GHEA Grapalat" w:cs="Sylfaen"/>
          <w:b/>
          <w:sz w:val="22"/>
          <w:szCs w:val="22"/>
          <w:lang w:val="hy-AM"/>
        </w:rPr>
        <w:t>Արամ  Միրզոյան</w:t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sz w:val="22"/>
          <w:szCs w:val="22"/>
          <w:vertAlign w:val="superscript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ՊՍ ղեկավար                                 </w:t>
      </w:r>
      <w:r w:rsidRPr="001127AD">
        <w:rPr>
          <w:rFonts w:ascii="GHEA Grapalat" w:hAnsi="GHEA Grapalat" w:cs="Sylfaen"/>
          <w:b/>
          <w:sz w:val="22"/>
          <w:szCs w:val="22"/>
          <w:vertAlign w:val="superscript"/>
          <w:lang w:val="hy-AM"/>
        </w:rPr>
        <w:t>/ստորագրություն/               /</w:t>
      </w:r>
      <w:r w:rsidRPr="001127AD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անուն,     ազգանուն/</w:t>
      </w:r>
    </w:p>
    <w:p w:rsidR="00053CA8" w:rsidRPr="001127AD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A65236" w:rsidRPr="001127AD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53CA8" w:rsidRPr="001127AD" w:rsidRDefault="00053CA8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811840" w:rsidRPr="001127AD" w:rsidRDefault="00811840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743F30" w:rsidRDefault="00743F30" w:rsidP="00053CA8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</w:p>
    <w:p w:rsidR="005B7F91" w:rsidRDefault="005B7F91" w:rsidP="00053CA8">
      <w:pPr>
        <w:jc w:val="right"/>
        <w:rPr>
          <w:rFonts w:ascii="GHEA Grapalat" w:hAnsi="GHEA Grapalat"/>
          <w:lang w:val="hy-AM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21AE1" w:rsidRPr="001127AD" w:rsidRDefault="00221AE1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10644F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19</w:t>
      </w:r>
      <w:r w:rsidR="00053CA8" w:rsidRPr="001127AD">
        <w:rPr>
          <w:rFonts w:ascii="GHEA Grapalat" w:hAnsi="GHEA Grapalat"/>
          <w:lang w:val="hy-AM"/>
        </w:rPr>
        <w:t>.</w:t>
      </w:r>
      <w:r w:rsidR="00224734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2</w:t>
      </w:r>
      <w:r w:rsidR="00053CA8" w:rsidRPr="001127AD">
        <w:rPr>
          <w:rFonts w:ascii="GHEA Grapalat" w:hAnsi="GHEA Grapalat"/>
          <w:lang w:val="hy-AM"/>
        </w:rPr>
        <w:t>.20</w:t>
      </w:r>
      <w:r w:rsidR="00B062BF" w:rsidRPr="001127AD">
        <w:rPr>
          <w:rFonts w:ascii="GHEA Grapalat" w:hAnsi="GHEA Grapalat"/>
          <w:lang w:val="hy-AM"/>
        </w:rPr>
        <w:t>2</w:t>
      </w:r>
      <w:r w:rsidR="00224734">
        <w:rPr>
          <w:rFonts w:ascii="GHEA Grapalat" w:hAnsi="GHEA Grapalat"/>
          <w:lang w:val="hy-AM"/>
        </w:rPr>
        <w:t>4</w:t>
      </w:r>
      <w:r w:rsidR="00053CA8" w:rsidRPr="001127AD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13</w:t>
      </w:r>
      <w:r w:rsidR="00E21021" w:rsidRPr="001127AD">
        <w:rPr>
          <w:rFonts w:ascii="GHEA Grapalat" w:hAnsi="GHEA Grapalat"/>
          <w:lang w:val="hy-AM"/>
        </w:rPr>
        <w:t>-Ա</w:t>
      </w:r>
      <w:r w:rsidR="00053CA8" w:rsidRPr="001127AD">
        <w:rPr>
          <w:rFonts w:ascii="GHEA Grapalat" w:hAnsi="GHEA Grapalat"/>
          <w:lang w:val="hy-AM"/>
        </w:rPr>
        <w:t xml:space="preserve">  </w:t>
      </w:r>
      <w:r w:rsidR="00BE09A2" w:rsidRPr="001127AD">
        <w:rPr>
          <w:rFonts w:ascii="GHEA Grapalat" w:hAnsi="GHEA Grapalat"/>
          <w:lang w:val="hy-AM"/>
        </w:rPr>
        <w:t>կարգադրությունով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1127AD" w:rsidRDefault="00297888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Անի Աթանեսյան</w:t>
      </w:r>
      <w:r w:rsidR="00053CA8" w:rsidRPr="001127AD">
        <w:rPr>
          <w:rFonts w:ascii="GHEA Grapalat" w:hAnsi="GHEA Grapalat"/>
          <w:lang w:val="hy-AM"/>
        </w:rPr>
        <w:t xml:space="preserve"> 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  <w:r w:rsidRPr="001127AD">
        <w:rPr>
          <w:rFonts w:ascii="GHEA Grapalat" w:hAnsi="GHEA Grapalat"/>
          <w:b/>
          <w:lang w:val="hy-AM"/>
        </w:rPr>
        <w:t>Ծառայողական գրություն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        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գործընթացը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կազմակերպելու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նպատակով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Ձեզ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ենք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ներկայացնում</w:t>
      </w:r>
      <w:r w:rsidRPr="001127AD">
        <w:rPr>
          <w:rFonts w:ascii="GHEA Grapalat" w:hAnsi="GHEA Grapalat"/>
          <w:lang w:val="de-DE"/>
        </w:rPr>
        <w:t xml:space="preserve"> </w:t>
      </w:r>
      <w:r w:rsidR="0010644F">
        <w:rPr>
          <w:rFonts w:ascii="GHEA Grapalat" w:hAnsi="GHEA Grapalat"/>
          <w:lang w:val="hy-AM"/>
        </w:rPr>
        <w:t>19</w:t>
      </w:r>
      <w:r w:rsidR="0010644F" w:rsidRPr="001127AD">
        <w:rPr>
          <w:rFonts w:ascii="GHEA Grapalat" w:hAnsi="GHEA Grapalat"/>
          <w:lang w:val="hy-AM"/>
        </w:rPr>
        <w:t>.</w:t>
      </w:r>
      <w:r w:rsidR="0010644F">
        <w:rPr>
          <w:rFonts w:ascii="GHEA Grapalat" w:hAnsi="GHEA Grapalat"/>
          <w:lang w:val="hy-AM"/>
        </w:rPr>
        <w:t>02</w:t>
      </w:r>
      <w:r w:rsidR="0010644F" w:rsidRPr="001127AD">
        <w:rPr>
          <w:rFonts w:ascii="GHEA Grapalat" w:hAnsi="GHEA Grapalat"/>
          <w:lang w:val="hy-AM"/>
        </w:rPr>
        <w:t>.202</w:t>
      </w:r>
      <w:r w:rsidR="0010644F">
        <w:rPr>
          <w:rFonts w:ascii="GHEA Grapalat" w:hAnsi="GHEA Grapalat"/>
          <w:lang w:val="hy-AM"/>
        </w:rPr>
        <w:t>4</w:t>
      </w:r>
      <w:r w:rsidR="0010644F" w:rsidRPr="001127AD">
        <w:rPr>
          <w:rFonts w:ascii="GHEA Grapalat" w:hAnsi="GHEA Grapalat"/>
          <w:lang w:val="hy-AM"/>
        </w:rPr>
        <w:t>թ</w:t>
      </w:r>
      <w:r w:rsidRPr="001127AD">
        <w:rPr>
          <w:rFonts w:ascii="GHEA Grapalat" w:hAnsi="GHEA Grapalat"/>
          <w:lang w:val="de-DE"/>
        </w:rPr>
        <w:t xml:space="preserve">. </w:t>
      </w:r>
      <w:r w:rsidRPr="001127AD">
        <w:rPr>
          <w:rFonts w:ascii="GHEA Grapalat" w:hAnsi="GHEA Grapalat"/>
          <w:lang w:val="hy-AM"/>
        </w:rPr>
        <w:t>թիվ</w:t>
      </w:r>
      <w:r w:rsidRPr="001127AD">
        <w:rPr>
          <w:rFonts w:ascii="GHEA Grapalat" w:hAnsi="GHEA Grapalat"/>
          <w:lang w:val="de-DE"/>
        </w:rPr>
        <w:t xml:space="preserve"> </w:t>
      </w:r>
      <w:r w:rsidR="0010644F">
        <w:rPr>
          <w:rFonts w:ascii="GHEA Grapalat" w:hAnsi="GHEA Grapalat"/>
          <w:lang w:val="hy-AM"/>
        </w:rPr>
        <w:t>13</w:t>
      </w:r>
      <w:r w:rsidR="00E21021" w:rsidRPr="001127AD">
        <w:rPr>
          <w:rFonts w:ascii="GHEA Grapalat" w:hAnsi="GHEA Grapalat"/>
          <w:lang w:val="hy-AM"/>
        </w:rPr>
        <w:t>-Ա</w:t>
      </w:r>
      <w:r w:rsidRPr="001127AD">
        <w:rPr>
          <w:rFonts w:ascii="GHEA Grapalat" w:hAnsi="GHEA Grapalat"/>
          <w:lang w:val="de-DE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կազմավորված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պատասխանատու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ստորաբաժանման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հայտը</w:t>
      </w:r>
      <w:r w:rsidRPr="001127AD">
        <w:rPr>
          <w:rFonts w:ascii="GHEA Grapalat" w:hAnsi="GHEA Grapalat"/>
          <w:lang w:val="de-DE"/>
        </w:rPr>
        <w:t>: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1127AD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1127AD" w:rsidRPr="001127AD" w:rsidRDefault="001127AD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1127AD" w:rsidRDefault="00E21021" w:rsidP="00E21021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97248A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19</w:t>
      </w:r>
      <w:r w:rsidRPr="001127A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02</w:t>
      </w:r>
      <w:r w:rsidRPr="001127AD">
        <w:rPr>
          <w:rFonts w:ascii="GHEA Grapalat" w:hAnsi="GHEA Grapalat"/>
          <w:lang w:val="hy-AM"/>
        </w:rPr>
        <w:t>.202</w:t>
      </w:r>
      <w:r>
        <w:rPr>
          <w:rFonts w:ascii="GHEA Grapalat" w:hAnsi="GHEA Grapalat"/>
          <w:lang w:val="hy-AM"/>
        </w:rPr>
        <w:t>4</w:t>
      </w:r>
      <w:r w:rsidRPr="001127AD">
        <w:rPr>
          <w:rFonts w:ascii="GHEA Grapalat" w:hAnsi="GHEA Grapalat"/>
          <w:lang w:val="hy-AM"/>
        </w:rPr>
        <w:t>թ</w:t>
      </w:r>
      <w:r w:rsidR="005C045C" w:rsidRPr="001127AD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13</w:t>
      </w:r>
      <w:r w:rsidR="00C252D2" w:rsidRPr="001127AD">
        <w:rPr>
          <w:rFonts w:ascii="GHEA Grapalat" w:hAnsi="GHEA Grapalat"/>
          <w:lang w:val="hy-AM"/>
        </w:rPr>
        <w:t>-Ա</w:t>
      </w:r>
      <w:r w:rsidR="009D7C65" w:rsidRPr="001127AD">
        <w:rPr>
          <w:rFonts w:ascii="GHEA Grapalat" w:hAnsi="GHEA Grapalat"/>
          <w:lang w:val="hy-AM"/>
        </w:rPr>
        <w:t xml:space="preserve"> 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053CA8" w:rsidRPr="001127AD">
        <w:rPr>
          <w:rFonts w:ascii="GHEA Grapalat" w:hAnsi="GHEA Grapalat"/>
          <w:lang w:val="de-DE"/>
        </w:rPr>
        <w:t>կազմավորված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1127AD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1127AD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1127AD" w:rsidRDefault="00EB21CC">
      <w:pPr>
        <w:rPr>
          <w:rFonts w:ascii="GHEA Grapalat" w:hAnsi="GHEA Grapalat"/>
          <w:lang w:val="de-DE"/>
        </w:rPr>
      </w:pPr>
    </w:p>
    <w:sectPr w:rsidR="00EB21CC" w:rsidRPr="001127AD" w:rsidSect="001127AD">
      <w:pgSz w:w="11906" w:h="16838" w:code="9"/>
      <w:pgMar w:top="360" w:right="8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7A4"/>
    <w:multiLevelType w:val="hybridMultilevel"/>
    <w:tmpl w:val="2F6C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5700">
      <w:numFmt w:val="bullet"/>
      <w:lvlText w:val="-"/>
      <w:lvlJc w:val="left"/>
      <w:pPr>
        <w:ind w:left="1440" w:hanging="360"/>
      </w:pPr>
      <w:rPr>
        <w:rFonts w:ascii="Arial LatArm" w:eastAsia="Times New Roman" w:hAnsi="Arial LatArm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CC7"/>
    <w:multiLevelType w:val="hybridMultilevel"/>
    <w:tmpl w:val="CFBE59A8"/>
    <w:lvl w:ilvl="0" w:tplc="67885700">
      <w:numFmt w:val="bullet"/>
      <w:lvlText w:val="-"/>
      <w:lvlJc w:val="left"/>
      <w:pPr>
        <w:ind w:left="720" w:hanging="360"/>
      </w:pPr>
      <w:rPr>
        <w:rFonts w:ascii="Arial LatArm" w:eastAsia="Times New Roman" w:hAnsi="Arial LatAr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221"/>
    <w:multiLevelType w:val="multilevel"/>
    <w:tmpl w:val="3D3EC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B005C"/>
    <w:multiLevelType w:val="hybridMultilevel"/>
    <w:tmpl w:val="84DE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E79"/>
    <w:multiLevelType w:val="multilevel"/>
    <w:tmpl w:val="5742DC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7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16568"/>
    <w:multiLevelType w:val="hybridMultilevel"/>
    <w:tmpl w:val="749AC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445BB"/>
    <w:rsid w:val="00053CA8"/>
    <w:rsid w:val="00055CD1"/>
    <w:rsid w:val="00082189"/>
    <w:rsid w:val="0010644F"/>
    <w:rsid w:val="001127AD"/>
    <w:rsid w:val="0013663D"/>
    <w:rsid w:val="00221AE1"/>
    <w:rsid w:val="00224734"/>
    <w:rsid w:val="002477F7"/>
    <w:rsid w:val="00255DEE"/>
    <w:rsid w:val="00264FEE"/>
    <w:rsid w:val="0026642C"/>
    <w:rsid w:val="0027101C"/>
    <w:rsid w:val="00293D72"/>
    <w:rsid w:val="00297888"/>
    <w:rsid w:val="00314543"/>
    <w:rsid w:val="0038179E"/>
    <w:rsid w:val="003E37D6"/>
    <w:rsid w:val="003E66B3"/>
    <w:rsid w:val="003F3340"/>
    <w:rsid w:val="003F620E"/>
    <w:rsid w:val="00422759"/>
    <w:rsid w:val="0043487C"/>
    <w:rsid w:val="004C57E1"/>
    <w:rsid w:val="004E2E80"/>
    <w:rsid w:val="00510D9D"/>
    <w:rsid w:val="00542636"/>
    <w:rsid w:val="005B7144"/>
    <w:rsid w:val="005B7F91"/>
    <w:rsid w:val="005C045C"/>
    <w:rsid w:val="005D2619"/>
    <w:rsid w:val="005F7C90"/>
    <w:rsid w:val="00655B1A"/>
    <w:rsid w:val="006A7D62"/>
    <w:rsid w:val="006D376F"/>
    <w:rsid w:val="006E0677"/>
    <w:rsid w:val="007114EB"/>
    <w:rsid w:val="00743F30"/>
    <w:rsid w:val="00767D5B"/>
    <w:rsid w:val="00782DB5"/>
    <w:rsid w:val="0079592B"/>
    <w:rsid w:val="007B4339"/>
    <w:rsid w:val="007D640C"/>
    <w:rsid w:val="00811840"/>
    <w:rsid w:val="00824189"/>
    <w:rsid w:val="00833473"/>
    <w:rsid w:val="00836BE5"/>
    <w:rsid w:val="008C36C3"/>
    <w:rsid w:val="00936E35"/>
    <w:rsid w:val="009455DF"/>
    <w:rsid w:val="009519D0"/>
    <w:rsid w:val="0095607B"/>
    <w:rsid w:val="0097248A"/>
    <w:rsid w:val="00975762"/>
    <w:rsid w:val="009B1A4E"/>
    <w:rsid w:val="009C1F00"/>
    <w:rsid w:val="009D7C65"/>
    <w:rsid w:val="009F0F5C"/>
    <w:rsid w:val="00A46D31"/>
    <w:rsid w:val="00A65236"/>
    <w:rsid w:val="00A876FD"/>
    <w:rsid w:val="00A95185"/>
    <w:rsid w:val="00AC5C18"/>
    <w:rsid w:val="00AE0056"/>
    <w:rsid w:val="00B0563D"/>
    <w:rsid w:val="00B062BF"/>
    <w:rsid w:val="00B50635"/>
    <w:rsid w:val="00BA2B7B"/>
    <w:rsid w:val="00BE09A2"/>
    <w:rsid w:val="00C12A39"/>
    <w:rsid w:val="00C165F9"/>
    <w:rsid w:val="00C252D2"/>
    <w:rsid w:val="00C56E37"/>
    <w:rsid w:val="00C87A82"/>
    <w:rsid w:val="00CE6381"/>
    <w:rsid w:val="00D15C76"/>
    <w:rsid w:val="00D16F52"/>
    <w:rsid w:val="00DE347D"/>
    <w:rsid w:val="00DE4864"/>
    <w:rsid w:val="00E21021"/>
    <w:rsid w:val="00E42C4D"/>
    <w:rsid w:val="00E47ECC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6D1B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11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9788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9788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107</cp:revision>
  <cp:lastPrinted>2024-02-22T11:10:00Z</cp:lastPrinted>
  <dcterms:created xsi:type="dcterms:W3CDTF">2017-11-17T11:41:00Z</dcterms:created>
  <dcterms:modified xsi:type="dcterms:W3CDTF">2024-02-22T11:10:00Z</dcterms:modified>
</cp:coreProperties>
</file>